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5" w:rsidRPr="00382BCE" w:rsidRDefault="00382BCE" w:rsidP="00382BC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</w:rPr>
      </w:pPr>
      <w:proofErr w:type="gramStart"/>
      <w:r w:rsidRPr="00382BC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bdr w:val="none" w:sz="0" w:space="0" w:color="auto" w:frame="1"/>
        </w:rPr>
        <w:t>l’Habilitation</w:t>
      </w:r>
      <w:proofErr w:type="gramEnd"/>
      <w:r w:rsidRPr="00382BC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bdr w:val="none" w:sz="0" w:space="0" w:color="auto" w:frame="1"/>
        </w:rPr>
        <w:t xml:space="preserve"> Universitaire : Procédures</w:t>
      </w:r>
    </w:p>
    <w:p w:rsidR="00F90235" w:rsidRDefault="00F90235" w:rsidP="00F90235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A3A3A"/>
          <w:sz w:val="32"/>
          <w:szCs w:val="32"/>
          <w:u w:val="single"/>
        </w:rPr>
      </w:pPr>
      <w:r w:rsidRPr="00382BCE">
        <w:rPr>
          <w:rFonts w:asciiTheme="majorBidi" w:eastAsia="Times New Roman" w:hAnsiTheme="majorBidi" w:cstheme="majorBidi"/>
          <w:b/>
          <w:bCs/>
          <w:color w:val="3A3A3A"/>
          <w:sz w:val="32"/>
          <w:szCs w:val="32"/>
          <w:u w:val="single"/>
        </w:rPr>
        <w:t>Dossier à Fournir:</w:t>
      </w:r>
    </w:p>
    <w:p w:rsidR="00382BCE" w:rsidRPr="00382BCE" w:rsidRDefault="00382BCE" w:rsidP="00F90235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color w:val="3A3A3A"/>
          <w:sz w:val="32"/>
          <w:szCs w:val="32"/>
        </w:rPr>
      </w:pP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Copie de la décision de titularisation dans le grade.  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 xml:space="preserve">Attestation de </w:t>
      </w:r>
      <w:r w:rsidR="00382BCE"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travail</w:t>
      </w: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 xml:space="preserve"> récente.  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Une (01) copie  de chacun des diplômes universitaires obtenus. 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Un (01) exemplaire de la thèse de doctorat.  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Curriculum vitae, retraçant les différentes étapes de la carrière du postulant ; (activité d’enseignement,  responsabilité pédagogique, encadrement de mémoires, …).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 xml:space="preserve">L’ensemble des travaux scientifiques réalisés par le candidat dont au moins un article hors et après thèse, publié dans une revue conforme </w:t>
      </w:r>
      <w:r w:rsidR="00382BCE"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à la liste publiée par la DGRSDT DU B21 JUIN 2018.</w:t>
      </w: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 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L’ensemble des travaux pédagogiques réalisés par le candidat dont au moins un polycopié à caractère pédagogique Le polycopié doit faire l’objet préalablement d’une expertise par deux enseignant-chercheurs désignés par le Comité Scientifique du Département et dont les</w:t>
      </w:r>
      <w:r w:rsidR="00382BCE"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 xml:space="preserve"> conclusions doivent être validées</w:t>
      </w: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 xml:space="preserve"> par le Conseil Scientifique de la Faculté. Après soutenance et prise en compte de toutes les recommandations des rapporteurs et autres membres du jury</w:t>
      </w:r>
      <w:r w:rsidR="00382BCE"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.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Une synthèse de 5 à 10 pages mettant en exergue l’ensemble de des travaux scientifiques et pédagogiques du candidat.</w:t>
      </w:r>
    </w:p>
    <w:p w:rsidR="00F90235" w:rsidRPr="00382BCE" w:rsidRDefault="00F90235" w:rsidP="00382BCE">
      <w:pPr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382BCE">
        <w:rPr>
          <w:rFonts w:asciiTheme="majorBidi" w:eastAsia="Times New Roman" w:hAnsiTheme="majorBidi" w:cstheme="majorBidi"/>
          <w:color w:val="333333"/>
          <w:sz w:val="32"/>
          <w:szCs w:val="32"/>
          <w:bdr w:val="none" w:sz="0" w:space="0" w:color="auto" w:frame="1"/>
        </w:rPr>
        <w:t>Pour un dossier provenant d’un autre établissement, le candidat doit joindre une attestation  mentionnant que son université d’origine n’est pas habilitée à délivrer l’Habilitation Universitaire dans sa spécialité.</w:t>
      </w:r>
    </w:p>
    <w:p w:rsidR="00F90235" w:rsidRPr="00382BCE" w:rsidRDefault="00382BCE" w:rsidP="00382BC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N.B</w:t>
      </w:r>
      <w:r w:rsidRPr="00382BC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: </w:t>
      </w:r>
      <w:r w:rsidR="00F90235" w:rsidRPr="00382BC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Le Dossier est à Déposer au niveau du Vice Rectorat</w:t>
      </w:r>
      <w:r w:rsidRPr="00382BCE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en 08 exemplaires.</w:t>
      </w:r>
    </w:p>
    <w:p w:rsidR="00F90235" w:rsidRPr="00382BCE" w:rsidRDefault="00F90235" w:rsidP="00382BCE">
      <w:pPr>
        <w:shd w:val="clear" w:color="auto" w:fill="FFFFFF"/>
        <w:spacing w:after="0" w:line="240" w:lineRule="auto"/>
        <w:ind w:firstLine="3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0375A8" w:rsidRPr="00382BCE" w:rsidRDefault="000375A8" w:rsidP="00382BCE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0375A8" w:rsidRPr="00382BCE" w:rsidSect="0003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A43"/>
    <w:multiLevelType w:val="multilevel"/>
    <w:tmpl w:val="4A5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A479B"/>
    <w:multiLevelType w:val="hybridMultilevel"/>
    <w:tmpl w:val="69684534"/>
    <w:lvl w:ilvl="0" w:tplc="8D8E0A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22FB4"/>
    <w:multiLevelType w:val="hybridMultilevel"/>
    <w:tmpl w:val="B72EE17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0235"/>
    <w:rsid w:val="000375A8"/>
    <w:rsid w:val="00382BCE"/>
    <w:rsid w:val="00B05B93"/>
    <w:rsid w:val="00E710EB"/>
    <w:rsid w:val="00F9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A8"/>
  </w:style>
  <w:style w:type="paragraph" w:styleId="Titre1">
    <w:name w:val="heading 1"/>
    <w:basedOn w:val="Normal"/>
    <w:link w:val="Titre1Car"/>
    <w:uiPriority w:val="9"/>
    <w:qFormat/>
    <w:rsid w:val="00F9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F90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0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F902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F902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9023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902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2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Nadjet</dc:creator>
  <cp:keywords/>
  <dc:description/>
  <cp:lastModifiedBy>Nadjet</cp:lastModifiedBy>
  <cp:revision>4</cp:revision>
  <dcterms:created xsi:type="dcterms:W3CDTF">2019-02-12T11:46:00Z</dcterms:created>
  <dcterms:modified xsi:type="dcterms:W3CDTF">2019-02-12T13:00:00Z</dcterms:modified>
</cp:coreProperties>
</file>